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DD74" w14:textId="4C209183" w:rsidR="00364A56" w:rsidRPr="007B378C" w:rsidRDefault="00364A56" w:rsidP="00364A56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6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831A5B">
        <w:rPr>
          <w:b/>
          <w:bCs/>
          <w:sz w:val="28"/>
        </w:rPr>
        <w:t>R1-240</w:t>
      </w:r>
      <w:r w:rsidR="00831A5B">
        <w:rPr>
          <w:b/>
          <w:bCs/>
          <w:sz w:val="28"/>
        </w:rPr>
        <w:t>0983</w:t>
      </w:r>
    </w:p>
    <w:p w14:paraId="688065F5" w14:textId="77777777" w:rsidR="00364A56" w:rsidRPr="002F56CE" w:rsidRDefault="00364A56" w:rsidP="00364A56">
      <w:pPr>
        <w:pStyle w:val="3GPPHeader"/>
        <w:rPr>
          <w:rFonts w:eastAsia="MS Mincho"/>
          <w:bCs/>
          <w:sz w:val="28"/>
          <w:lang w:val="en-GB" w:eastAsia="ja-JP"/>
        </w:rPr>
      </w:pPr>
      <w:r w:rsidRPr="002D2038">
        <w:rPr>
          <w:rFonts w:eastAsia="MS Mincho"/>
          <w:bCs/>
          <w:sz w:val="28"/>
          <w:lang w:val="en-GB" w:eastAsia="ja-JP"/>
        </w:rPr>
        <w:t>Athens, Greece, February 26</w:t>
      </w:r>
      <w:r w:rsidRPr="002D2038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Pr="002D2038">
        <w:rPr>
          <w:rFonts w:eastAsia="MS Mincho"/>
          <w:bCs/>
          <w:sz w:val="28"/>
          <w:lang w:val="en-GB" w:eastAsia="ja-JP"/>
        </w:rPr>
        <w:t xml:space="preserve"> – March 1</w:t>
      </w:r>
      <w:r w:rsidRPr="002D2038">
        <w:rPr>
          <w:rFonts w:eastAsia="MS Mincho"/>
          <w:bCs/>
          <w:sz w:val="28"/>
          <w:vertAlign w:val="superscript"/>
          <w:lang w:val="en-GB" w:eastAsia="ja-JP"/>
        </w:rPr>
        <w:t>st</w:t>
      </w:r>
      <w:r w:rsidRPr="002D2038">
        <w:rPr>
          <w:rFonts w:eastAsia="MS Mincho"/>
          <w:bCs/>
          <w:sz w:val="28"/>
          <w:lang w:val="en-GB" w:eastAsia="ja-JP"/>
        </w:rPr>
        <w:t>, 2024</w:t>
      </w: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031D35D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 xml:space="preserve">on </w:t>
      </w:r>
      <w:r w:rsidR="00364A56" w:rsidRPr="00364A56">
        <w:rPr>
          <w:sz w:val="24"/>
          <w:szCs w:val="24"/>
        </w:rPr>
        <w:t>Satellite Switch with Resync</w:t>
      </w:r>
    </w:p>
    <w:p w14:paraId="682AA1DD" w14:textId="26FD944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364A56">
        <w:rPr>
          <w:sz w:val="24"/>
          <w:szCs w:val="24"/>
        </w:rPr>
        <w:t>314016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107B82F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364A56">
        <w:rPr>
          <w:sz w:val="24"/>
          <w:szCs w:val="24"/>
        </w:rPr>
        <w:t>NTN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34FE9B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  <w:r w:rsidR="00364A56" w:rsidRPr="00364A56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4A14B2C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364A56" w:rsidRPr="00364A56">
        <w:rPr>
          <w:sz w:val="24"/>
          <w:szCs w:val="24"/>
        </w:rPr>
        <w:t>Satellite Switch with Resync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7D3BCDF7" w14:textId="68985A73" w:rsidR="00364A56" w:rsidRPr="00364A56" w:rsidRDefault="00364A56" w:rsidP="00364A56">
            <w:pPr>
              <w:numPr>
                <w:ilvl w:val="1"/>
                <w:numId w:val="50"/>
              </w:numPr>
              <w:spacing w:before="120" w:after="120" w:line="276" w:lineRule="auto"/>
              <w:jc w:val="both"/>
              <w:rPr>
                <w:color w:val="000000" w:themeColor="text1"/>
                <w:sz w:val="24"/>
                <w:szCs w:val="24"/>
                <w:lang w:eastAsia="ko-KR"/>
              </w:rPr>
            </w:pPr>
            <w:r w:rsidRPr="00364A56">
              <w:rPr>
                <w:color w:val="000000" w:themeColor="text1"/>
                <w:sz w:val="24"/>
                <w:szCs w:val="24"/>
                <w:lang w:eastAsia="ko-KR"/>
              </w:rPr>
              <w:t xml:space="preserve">For soft satellite switch, RAN2 would like to get feedback on the feasibility that a UE supporting soft satellite switch can start synchronizing to the DL of the </w:t>
            </w:r>
            <w:proofErr w:type="spellStart"/>
            <w:r w:rsidRPr="00364A56">
              <w:rPr>
                <w:color w:val="000000" w:themeColor="text1"/>
                <w:sz w:val="24"/>
                <w:szCs w:val="24"/>
                <w:lang w:eastAsia="ko-KR"/>
              </w:rPr>
              <w:t>SpCell</w:t>
            </w:r>
            <w:proofErr w:type="spellEnd"/>
            <w:r w:rsidRPr="00364A56">
              <w:rPr>
                <w:color w:val="000000" w:themeColor="text1"/>
                <w:sz w:val="24"/>
                <w:szCs w:val="24"/>
                <w:lang w:eastAsia="ko-KR"/>
              </w:rPr>
              <w:t xml:space="preserve"> served by the target satellite while still being connected to the source satellite (without any simultaneous communication with the source and the target satellites). </w:t>
            </w:r>
          </w:p>
          <w:p w14:paraId="712D42EE" w14:textId="1ABDC503" w:rsidR="00364A56" w:rsidRPr="00364A56" w:rsidRDefault="00364A56" w:rsidP="00364A56">
            <w:pPr>
              <w:pStyle w:val="CommentText"/>
              <w:ind w:left="450" w:hanging="450"/>
              <w:jc w:val="both"/>
              <w:rPr>
                <w:rFonts w:cs="Arial"/>
                <w:b/>
                <w:bCs/>
                <w:sz w:val="24"/>
                <w:szCs w:val="24"/>
                <w:lang w:eastAsia="zh-CN"/>
              </w:rPr>
            </w:pPr>
            <w:r w:rsidRPr="00364A56">
              <w:rPr>
                <w:rFonts w:cs="Arial"/>
                <w:b/>
                <w:bCs/>
                <w:sz w:val="24"/>
                <w:szCs w:val="24"/>
                <w:lang w:eastAsia="zh-CN"/>
              </w:rPr>
              <w:t>To RAN1</w:t>
            </w:r>
          </w:p>
          <w:p w14:paraId="6DDE7893" w14:textId="645A36F8" w:rsidR="005E28F1" w:rsidRPr="00364A56" w:rsidRDefault="00364A56" w:rsidP="00364A56">
            <w:pPr>
              <w:pStyle w:val="CommentText"/>
              <w:ind w:left="450" w:hanging="450"/>
              <w:rPr>
                <w:rFonts w:cs="Arial"/>
                <w:b/>
                <w:bCs/>
                <w:sz w:val="24"/>
                <w:szCs w:val="24"/>
                <w:lang w:eastAsia="zh-CN"/>
              </w:rPr>
            </w:pPr>
            <w:r w:rsidRPr="00364A56">
              <w:rPr>
                <w:rFonts w:cs="Arial"/>
                <w:b/>
                <w:bCs/>
                <w:sz w:val="24"/>
                <w:szCs w:val="24"/>
                <w:lang w:eastAsia="zh-CN"/>
              </w:rPr>
              <w:t>ACTION:</w:t>
            </w:r>
            <w:r>
              <w:rPr>
                <w:rFonts w:cs="Arial"/>
                <w:b/>
                <w:bCs/>
                <w:sz w:val="24"/>
                <w:szCs w:val="24"/>
                <w:lang w:eastAsia="zh-CN"/>
              </w:rPr>
              <w:t xml:space="preserve">  </w:t>
            </w:r>
            <w:r w:rsidRPr="00364A56">
              <w:rPr>
                <w:rFonts w:cs="Arial"/>
                <w:sz w:val="24"/>
                <w:szCs w:val="24"/>
                <w:lang w:eastAsia="zh-CN"/>
              </w:rPr>
              <w:t>For the feasibility issue, RAN2 respectfully asks RAN1 to provide feedback if there are any concern.</w:t>
            </w:r>
            <w:r w:rsidRPr="00364A56">
              <w:rPr>
                <w:rFonts w:cs="Arial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14:paraId="7DF5F9CE" w14:textId="2D7EEAF0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364A56" w:rsidRPr="00364A56">
        <w:rPr>
          <w:rFonts w:eastAsia="Yu Mincho"/>
          <w:bCs/>
          <w:iCs/>
          <w:sz w:val="24"/>
          <w:szCs w:val="24"/>
          <w:lang w:val="en-US" w:eastAsia="ja-JP"/>
        </w:rPr>
        <w:t xml:space="preserve">From RAN1 point of view, </w:t>
      </w:r>
      <w:r w:rsidR="000062BA">
        <w:rPr>
          <w:sz w:val="24"/>
          <w:szCs w:val="24"/>
        </w:rPr>
        <w:t xml:space="preserve">if UE’s received time difference of SSBs from </w:t>
      </w:r>
      <w:r w:rsidR="00964FE5">
        <w:rPr>
          <w:sz w:val="24"/>
          <w:szCs w:val="24"/>
        </w:rPr>
        <w:t>source</w:t>
      </w:r>
      <w:r w:rsidR="000062BA">
        <w:rPr>
          <w:sz w:val="24"/>
          <w:szCs w:val="24"/>
        </w:rPr>
        <w:t xml:space="preserve"> satellite</w:t>
      </w:r>
      <w:r w:rsidR="00964FE5">
        <w:rPr>
          <w:sz w:val="24"/>
          <w:szCs w:val="24"/>
        </w:rPr>
        <w:t xml:space="preserve"> and target satellite</w:t>
      </w:r>
      <w:r w:rsidR="000062BA">
        <w:rPr>
          <w:sz w:val="24"/>
          <w:szCs w:val="24"/>
        </w:rPr>
        <w:t xml:space="preserve"> </w:t>
      </w:r>
      <w:r w:rsidR="000010E1">
        <w:rPr>
          <w:sz w:val="24"/>
          <w:szCs w:val="24"/>
        </w:rPr>
        <w:t>is</w:t>
      </w:r>
      <w:r w:rsidR="000062BA">
        <w:rPr>
          <w:sz w:val="24"/>
          <w:szCs w:val="24"/>
        </w:rPr>
        <w:t xml:space="preserve"> larger than a threshold, </w:t>
      </w:r>
      <w:r w:rsidR="00364A56" w:rsidRPr="00364A56">
        <w:rPr>
          <w:rFonts w:eastAsia="Yu Mincho"/>
          <w:bCs/>
          <w:iCs/>
          <w:sz w:val="24"/>
          <w:szCs w:val="24"/>
          <w:lang w:val="en-US" w:eastAsia="ja-JP"/>
        </w:rPr>
        <w:t>it is feasible</w:t>
      </w:r>
      <w:r w:rsidR="00364A56">
        <w:rPr>
          <w:rFonts w:eastAsia="Yu Mincho"/>
          <w:bCs/>
          <w:iCs/>
          <w:sz w:val="24"/>
          <w:szCs w:val="24"/>
          <w:lang w:val="en-US" w:eastAsia="ja-JP"/>
        </w:rPr>
        <w:t xml:space="preserve"> that a UE supporting</w:t>
      </w:r>
      <w:r w:rsidR="00364A56" w:rsidRPr="00364A56">
        <w:rPr>
          <w:i/>
          <w:iCs/>
          <w:sz w:val="24"/>
          <w:szCs w:val="24"/>
        </w:rPr>
        <w:t xml:space="preserve"> </w:t>
      </w:r>
      <w:r w:rsidR="00364A56" w:rsidRPr="00364A56">
        <w:rPr>
          <w:sz w:val="24"/>
          <w:szCs w:val="24"/>
        </w:rPr>
        <w:t xml:space="preserve">soft satellite </w:t>
      </w:r>
      <w:proofErr w:type="spellStart"/>
      <w:r w:rsidR="00364A56" w:rsidRPr="00364A56">
        <w:rPr>
          <w:sz w:val="24"/>
          <w:szCs w:val="24"/>
        </w:rPr>
        <w:t>swtich</w:t>
      </w:r>
      <w:proofErr w:type="spellEnd"/>
      <w:r w:rsidR="00364A56" w:rsidRPr="00364A56">
        <w:rPr>
          <w:sz w:val="24"/>
          <w:szCs w:val="24"/>
        </w:rPr>
        <w:t xml:space="preserve"> can start synchronizing to the DL of the </w:t>
      </w:r>
      <w:proofErr w:type="spellStart"/>
      <w:r w:rsidR="00364A56" w:rsidRPr="00364A56">
        <w:rPr>
          <w:sz w:val="24"/>
          <w:szCs w:val="24"/>
        </w:rPr>
        <w:t>SpCell</w:t>
      </w:r>
      <w:proofErr w:type="spellEnd"/>
      <w:r w:rsidR="00364A56" w:rsidRPr="00364A56">
        <w:rPr>
          <w:sz w:val="24"/>
          <w:szCs w:val="24"/>
        </w:rPr>
        <w:t xml:space="preserve"> served by the target satellite while still being connected to the source satellite</w:t>
      </w:r>
      <w:r w:rsidR="000062BA">
        <w:rPr>
          <w:sz w:val="24"/>
          <w:szCs w:val="24"/>
        </w:rPr>
        <w:t xml:space="preserve">. Otherwise, it is infeasible. </w:t>
      </w:r>
    </w:p>
    <w:p w14:paraId="13CFFEF2" w14:textId="77777777" w:rsidR="00364A56" w:rsidRPr="00364A56" w:rsidRDefault="00364A56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2C827A1D" w14:textId="29F1CF93" w:rsidR="00364A56" w:rsidRPr="002E2F37" w:rsidRDefault="00364A56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CC RAN WG4</w:t>
      </w:r>
      <w:r w:rsidR="0065189D" w:rsidRPr="002E2F37">
        <w:rPr>
          <w:b/>
          <w:bCs/>
          <w:sz w:val="24"/>
          <w:szCs w:val="24"/>
          <w:lang w:val="en-US" w:eastAsia="zh-CN"/>
        </w:rPr>
        <w:t xml:space="preserve">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74219860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364A56">
        <w:rPr>
          <w:sz w:val="24"/>
          <w:szCs w:val="24"/>
        </w:rPr>
        <w:t>6bis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364A56">
        <w:rPr>
          <w:sz w:val="24"/>
          <w:szCs w:val="24"/>
        </w:rPr>
        <w:tab/>
        <w:t xml:space="preserve">  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5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Pr="002E2F37">
        <w:rPr>
          <w:sz w:val="24"/>
          <w:szCs w:val="24"/>
        </w:rPr>
        <w:t>1</w:t>
      </w:r>
      <w:r w:rsidR="005E28F1">
        <w:rPr>
          <w:sz w:val="24"/>
          <w:szCs w:val="24"/>
        </w:rPr>
        <w:t>9</w:t>
      </w:r>
      <w:r w:rsidR="006C2987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April</w:t>
      </w:r>
      <w:r w:rsidRPr="002E2F37">
        <w:rPr>
          <w:sz w:val="24"/>
          <w:szCs w:val="24"/>
        </w:rPr>
        <w:t xml:space="preserve">, </w:t>
      </w:r>
      <w:proofErr w:type="gramStart"/>
      <w:r w:rsidRPr="002E2F37">
        <w:rPr>
          <w:sz w:val="24"/>
          <w:szCs w:val="24"/>
        </w:rPr>
        <w:t>202</w:t>
      </w:r>
      <w:r w:rsidR="00364A56">
        <w:rPr>
          <w:sz w:val="24"/>
          <w:szCs w:val="24"/>
        </w:rPr>
        <w:t>4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proofErr w:type="gramEnd"/>
      <w:r w:rsidRPr="002E2F37">
        <w:rPr>
          <w:sz w:val="24"/>
          <w:szCs w:val="24"/>
        </w:rPr>
        <w:tab/>
        <w:t xml:space="preserve">  </w:t>
      </w:r>
      <w:r w:rsidR="00364A56">
        <w:rPr>
          <w:sz w:val="24"/>
          <w:szCs w:val="24"/>
        </w:rPr>
        <w:t xml:space="preserve">  </w:t>
      </w:r>
      <w:r w:rsidR="00B32C42">
        <w:rPr>
          <w:sz w:val="24"/>
          <w:szCs w:val="24"/>
        </w:rPr>
        <w:t xml:space="preserve">Changsha, </w:t>
      </w:r>
      <w:r w:rsidR="00364A56">
        <w:rPr>
          <w:sz w:val="24"/>
          <w:szCs w:val="24"/>
        </w:rPr>
        <w:t xml:space="preserve">China </w:t>
      </w:r>
    </w:p>
    <w:p w14:paraId="7326257F" w14:textId="71B8A331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364A56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364A56">
        <w:rPr>
          <w:sz w:val="24"/>
          <w:szCs w:val="24"/>
        </w:rPr>
        <w:t xml:space="preserve"> 20</w:t>
      </w:r>
      <w:r w:rsidR="005E28F1">
        <w:rPr>
          <w:sz w:val="24"/>
          <w:szCs w:val="24"/>
        </w:rPr>
        <w:t xml:space="preserve"> – </w:t>
      </w:r>
      <w:r w:rsidR="00364A56">
        <w:rPr>
          <w:sz w:val="24"/>
          <w:szCs w:val="24"/>
        </w:rPr>
        <w:t>24</w:t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May</w:t>
      </w:r>
      <w:r w:rsidR="005E28F1">
        <w:rPr>
          <w:sz w:val="24"/>
          <w:szCs w:val="24"/>
        </w:rPr>
        <w:t xml:space="preserve">, 2022     </w:t>
      </w:r>
      <w:r w:rsidR="00364A56">
        <w:rPr>
          <w:sz w:val="24"/>
          <w:szCs w:val="24"/>
        </w:rPr>
        <w:tab/>
      </w:r>
      <w:proofErr w:type="gramStart"/>
      <w:r w:rsidR="00364A56">
        <w:rPr>
          <w:sz w:val="24"/>
          <w:szCs w:val="24"/>
        </w:rPr>
        <w:tab/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 xml:space="preserve"> Fukuoka</w:t>
      </w:r>
      <w:proofErr w:type="gramEnd"/>
      <w:r w:rsidR="00364A56">
        <w:rPr>
          <w:sz w:val="24"/>
          <w:szCs w:val="24"/>
        </w:rPr>
        <w:t xml:space="preserve"> City, Japan</w:t>
      </w:r>
    </w:p>
    <w:sectPr w:rsidR="005D1BD9" w:rsidRPr="002E2F37" w:rsidSect="00A325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DC051" w14:textId="77777777" w:rsidR="00A32518" w:rsidRDefault="00A32518">
      <w:r>
        <w:separator/>
      </w:r>
    </w:p>
  </w:endnote>
  <w:endnote w:type="continuationSeparator" w:id="0">
    <w:p w14:paraId="02140DE5" w14:textId="77777777" w:rsidR="00A32518" w:rsidRDefault="00A32518">
      <w:r>
        <w:continuationSeparator/>
      </w:r>
    </w:p>
  </w:endnote>
  <w:endnote w:type="continuationNotice" w:id="1">
    <w:p w14:paraId="15447C2A" w14:textId="77777777" w:rsidR="00A32518" w:rsidRDefault="00A325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E8ABC" w14:textId="77777777" w:rsidR="00A32518" w:rsidRDefault="00A32518">
      <w:r>
        <w:separator/>
      </w:r>
    </w:p>
  </w:footnote>
  <w:footnote w:type="continuationSeparator" w:id="0">
    <w:p w14:paraId="34DCEA3C" w14:textId="77777777" w:rsidR="00A32518" w:rsidRDefault="00A32518">
      <w:r>
        <w:continuationSeparator/>
      </w:r>
    </w:p>
  </w:footnote>
  <w:footnote w:type="continuationNotice" w:id="1">
    <w:p w14:paraId="5F20204D" w14:textId="77777777" w:rsidR="00A32518" w:rsidRDefault="00A325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7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1824617383">
    <w:abstractNumId w:val="45"/>
  </w:num>
  <w:num w:numId="50" w16cid:durableId="15862456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2024-02-16T17:12:00Z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